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239CB" w14:textId="6325F921" w:rsidR="004E504E" w:rsidRPr="004E504E" w:rsidRDefault="004E504E" w:rsidP="004E504E">
      <w:pPr>
        <w:pBdr>
          <w:top w:val="nil"/>
          <w:left w:val="nil"/>
          <w:bottom w:val="nil"/>
          <w:right w:val="nil"/>
          <w:between w:val="nil"/>
        </w:pBdr>
        <w:spacing w:before="70"/>
        <w:ind w:left="5812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bookmarkStart w:id="0" w:name="_GoBack"/>
      <w:r w:rsidRPr="004E504E">
        <w:rPr>
          <w:rFonts w:ascii="Times New Roman" w:hAnsi="Times New Roman" w:cs="Times New Roman"/>
          <w:b/>
          <w:color w:val="212121"/>
          <w:sz w:val="28"/>
          <w:szCs w:val="28"/>
        </w:rPr>
        <w:t>Утвержден протоколом педагогического совета №1 от 30.08.2024 г.</w:t>
      </w:r>
    </w:p>
    <w:bookmarkEnd w:id="0"/>
    <w:p w14:paraId="5EBFDD10" w14:textId="77777777" w:rsidR="004E504E" w:rsidRPr="004E504E" w:rsidRDefault="004E504E" w:rsidP="0089513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14:paraId="0A9F0D28" w14:textId="7E93EF74" w:rsidR="00563E76" w:rsidRPr="00895130" w:rsidRDefault="00563E76" w:rsidP="0089513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E504E">
        <w:rPr>
          <w:rFonts w:ascii="Times New Roman" w:hAnsi="Times New Roman" w:cs="Times New Roman"/>
          <w:b/>
          <w:color w:val="212121"/>
          <w:sz w:val="28"/>
          <w:szCs w:val="28"/>
        </w:rPr>
        <w:t>План вне</w:t>
      </w:r>
      <w:r w:rsidR="00106BEB" w:rsidRPr="004E504E">
        <w:rPr>
          <w:rFonts w:ascii="Times New Roman" w:hAnsi="Times New Roman" w:cs="Times New Roman"/>
          <w:b/>
          <w:color w:val="212121"/>
          <w:sz w:val="28"/>
          <w:szCs w:val="28"/>
        </w:rPr>
        <w:t>урочной деятельности НОО на 2024-2025</w:t>
      </w:r>
      <w:r w:rsidR="00895130" w:rsidRPr="004E504E">
        <w:rPr>
          <w:rFonts w:ascii="Times New Roman" w:hAnsi="Times New Roman" w:cs="Times New Roman"/>
          <w:b/>
          <w:color w:val="212121"/>
          <w:sz w:val="28"/>
          <w:szCs w:val="28"/>
        </w:rPr>
        <w:br/>
        <w:t xml:space="preserve">в </w:t>
      </w:r>
      <w:r w:rsidR="00106BEB" w:rsidRPr="004E504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МАОУ СОШ №30 имени </w:t>
      </w:r>
      <w:proofErr w:type="spellStart"/>
      <w:r w:rsidR="00106BEB" w:rsidRPr="004E504E">
        <w:rPr>
          <w:rFonts w:ascii="Times New Roman" w:hAnsi="Times New Roman" w:cs="Times New Roman"/>
          <w:b/>
          <w:color w:val="212121"/>
          <w:sz w:val="28"/>
          <w:szCs w:val="28"/>
        </w:rPr>
        <w:t>М.Л.Попович</w:t>
      </w:r>
      <w:proofErr w:type="spellEnd"/>
      <w:r w:rsidR="00106BEB" w:rsidRPr="004E504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поселка Мостовского</w:t>
      </w:r>
    </w:p>
    <w:p w14:paraId="12C862EB" w14:textId="682337BA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2C878B5E" w14:textId="332CC6FB" w:rsidR="00E47AAB" w:rsidRPr="00895130" w:rsidRDefault="00E47AAB" w:rsidP="00106BE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</w:t>
      </w:r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106BEB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осуществляется 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66FA5F40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Основными задачами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14:paraId="2E250CBE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5E669D7A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21B443F6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14:paraId="1BA00AC3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14:paraId="65C99EDF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02E0CE85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14:paraId="055F8150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>формирование культуры поведения в информационной среде.</w:t>
      </w:r>
    </w:p>
    <w:p w14:paraId="3BF087FF" w14:textId="2B5D017F" w:rsidR="00E47AAB" w:rsidRPr="00895130" w:rsidRDefault="00E47AAB" w:rsidP="00106BE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895130"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формулировках, что подчеркивает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их практико-ориентированные характеристики. 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При выборе направлений и отборе содержания обучения </w:t>
      </w:r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106BEB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учитывает:</w:t>
      </w:r>
    </w:p>
    <w:p w14:paraId="159E195F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6D401099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4DC9BB89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4F2C5DA5" w14:textId="79F64E65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Общий объем внеурочной деятельности в </w:t>
      </w:r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не превышает 10 часов в неделю.</w:t>
      </w:r>
    </w:p>
    <w:p w14:paraId="74116BD7" w14:textId="77777777"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 на внеурочное занятие «Разговоры о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». </w:t>
      </w:r>
    </w:p>
    <w:p w14:paraId="7F773200" w14:textId="0763BD0E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</w:t>
      </w:r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106BEB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реализуются следующие </w:t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деятельности.</w:t>
      </w:r>
    </w:p>
    <w:p w14:paraId="1AC62423" w14:textId="77777777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1. 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Спортивно-оздоровительная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3E650930" w14:textId="77777777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2 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Проектно-исследовательская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как углубленное изучение учебных предметов в процессе совместной деятельности по выполнению проектов.</w:t>
      </w:r>
    </w:p>
    <w:p w14:paraId="451E524D" w14:textId="1224C3B3" w:rsidR="00C8131C" w:rsidRPr="00895130" w:rsidRDefault="00106BEB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3 .</w:t>
      </w:r>
      <w:r w:rsidR="00C8131C"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Коммуникативная деятельность </w:t>
      </w:r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374821F9" w14:textId="77777777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4. 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Художественно-эстетическая творческая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а также становлению умений участвовать в театрализованной деятельности.</w:t>
      </w:r>
    </w:p>
    <w:p w14:paraId="654C2AAA" w14:textId="77777777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5. 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Информационная культура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предполагает учебные курсы в рамках внеурочной деятельности, которые формируют представления обучающихся о разнообразных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>современных информационных средствах и навыки выполнения разных видов работ на компьютере.</w:t>
      </w:r>
    </w:p>
    <w:p w14:paraId="360DBA76" w14:textId="77777777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6. 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Интеллектуальные марафоны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47B720A0" w14:textId="77777777"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7. 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«Учение с увлечением!»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обучающемуся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14:paraId="576B7935" w14:textId="03CCE106" w:rsidR="00563E76" w:rsidRPr="00895130" w:rsidRDefault="00563E76">
      <w:pPr>
        <w:rPr>
          <w:rFonts w:ascii="Times New Roman" w:eastAsia="SchoolBookSanPin" w:hAnsi="Times New Roman" w:cs="Times New Roman"/>
          <w:color w:val="FF0000"/>
          <w:sz w:val="24"/>
          <w:szCs w:val="24"/>
        </w:rPr>
        <w:sectPr w:rsidR="00563E76" w:rsidRPr="00895130" w:rsidSect="00563E76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p w14:paraId="5115D359" w14:textId="1A312663" w:rsidR="00563E76" w:rsidRPr="00895130" w:rsidRDefault="00563E76" w:rsidP="00563E76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5130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</w:t>
      </w:r>
      <w:r w:rsidR="00106BEB">
        <w:rPr>
          <w:rFonts w:ascii="Times New Roman" w:hAnsi="Times New Roman" w:cs="Times New Roman"/>
          <w:b/>
          <w:color w:val="212121"/>
          <w:sz w:val="24"/>
          <w:szCs w:val="24"/>
        </w:rPr>
        <w:t>урочной деятельности НОО на 2024-2025</w:t>
      </w:r>
    </w:p>
    <w:p w14:paraId="4D59E927" w14:textId="77777777" w:rsidR="00563E76" w:rsidRPr="00895130" w:rsidRDefault="00563E76" w:rsidP="00563E76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4399"/>
        <w:gridCol w:w="3871"/>
        <w:gridCol w:w="2359"/>
        <w:gridCol w:w="1673"/>
        <w:gridCol w:w="1015"/>
        <w:gridCol w:w="708"/>
        <w:gridCol w:w="1138"/>
      </w:tblGrid>
      <w:tr w:rsidR="00563E76" w:rsidRPr="00895130" w14:paraId="3F533249" w14:textId="77777777" w:rsidTr="00563E76">
        <w:trPr>
          <w:cantSplit/>
          <w:trHeight w:val="374"/>
          <w:tblHeader/>
        </w:trPr>
        <w:tc>
          <w:tcPr>
            <w:tcW w:w="4399" w:type="dxa"/>
            <w:vMerge w:val="restart"/>
          </w:tcPr>
          <w:p w14:paraId="0D52659F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71" w:type="dxa"/>
            <w:vMerge w:val="restart"/>
          </w:tcPr>
          <w:p w14:paraId="2D11402E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86" w:right="137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359" w:type="dxa"/>
            <w:vMerge w:val="restart"/>
          </w:tcPr>
          <w:p w14:paraId="09D80021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7" w:right="451" w:firstLine="28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534" w:type="dxa"/>
            <w:gridSpan w:val="4"/>
          </w:tcPr>
          <w:p w14:paraId="3E89962E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63E76" w:rsidRPr="00895130" w14:paraId="064B7361" w14:textId="77777777" w:rsidTr="00563E76">
        <w:trPr>
          <w:cantSplit/>
          <w:trHeight w:val="652"/>
          <w:tblHeader/>
        </w:trPr>
        <w:tc>
          <w:tcPr>
            <w:tcW w:w="4399" w:type="dxa"/>
            <w:vMerge/>
          </w:tcPr>
          <w:p w14:paraId="75BCF09C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14:paraId="6C67858F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14:paraId="5A7BA693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4B23755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015" w:type="dxa"/>
          </w:tcPr>
          <w:p w14:paraId="5401A13A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708" w:type="dxa"/>
          </w:tcPr>
          <w:p w14:paraId="5D9316BE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6EDC6DB5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14:paraId="1969AE2B" w14:textId="77777777" w:rsidR="00563E76" w:rsidRPr="00895130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106BEB" w:rsidRPr="00895130" w14:paraId="0092DD85" w14:textId="77777777" w:rsidTr="00563E76">
        <w:trPr>
          <w:cantSplit/>
          <w:trHeight w:val="376"/>
          <w:tblHeader/>
        </w:trPr>
        <w:tc>
          <w:tcPr>
            <w:tcW w:w="4399" w:type="dxa"/>
            <w:vMerge w:val="restart"/>
          </w:tcPr>
          <w:p w14:paraId="1795F5DB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71" w:type="dxa"/>
          </w:tcPr>
          <w:p w14:paraId="6F058D13" w14:textId="42FAB3B1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«Азбука самбо»</w:t>
            </w:r>
          </w:p>
        </w:tc>
        <w:tc>
          <w:tcPr>
            <w:tcW w:w="2359" w:type="dxa"/>
          </w:tcPr>
          <w:p w14:paraId="43020CC9" w14:textId="2AF5A742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40B150AA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6D7054D5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736FBC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2C92389E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06BEB" w:rsidRPr="00895130" w14:paraId="4138CE4C" w14:textId="77777777" w:rsidTr="00563E76">
        <w:trPr>
          <w:cantSplit/>
          <w:trHeight w:val="376"/>
          <w:tblHeader/>
        </w:trPr>
        <w:tc>
          <w:tcPr>
            <w:tcW w:w="4399" w:type="dxa"/>
            <w:vMerge/>
          </w:tcPr>
          <w:p w14:paraId="0C16480E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14:paraId="4DD70605" w14:textId="43B0D7FD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/>
                <w:bCs/>
                <w:color w:val="000000" w:themeColor="text1"/>
                <w:sz w:val="24"/>
                <w:szCs w:val="24"/>
                <w:lang w:eastAsia="en-US"/>
              </w:rPr>
              <w:t>«Юный</w:t>
            </w:r>
            <w:r w:rsidRPr="00106BEB">
              <w:rPr>
                <w:rFonts w:asci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06BEB">
              <w:rPr>
                <w:rFonts w:ascii="Times New Roman"/>
                <w:bCs/>
                <w:color w:val="000000" w:themeColor="text1"/>
                <w:sz w:val="24"/>
                <w:szCs w:val="24"/>
                <w:lang w:eastAsia="en-US"/>
              </w:rPr>
              <w:t>турист»</w:t>
            </w:r>
          </w:p>
        </w:tc>
        <w:tc>
          <w:tcPr>
            <w:tcW w:w="2359" w:type="dxa"/>
          </w:tcPr>
          <w:p w14:paraId="4D0ECBDA" w14:textId="2D1E6226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4BAF4276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D9581A9" w14:textId="01A8171D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B9BED3D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7E90384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63E76" w:rsidRPr="00895130" w14:paraId="22208C01" w14:textId="77777777" w:rsidTr="00563E76">
        <w:trPr>
          <w:cantSplit/>
          <w:trHeight w:val="376"/>
          <w:tblHeader/>
        </w:trPr>
        <w:tc>
          <w:tcPr>
            <w:tcW w:w="4399" w:type="dxa"/>
            <w:vMerge w:val="restart"/>
          </w:tcPr>
          <w:p w14:paraId="1A988E57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871" w:type="dxa"/>
          </w:tcPr>
          <w:p w14:paraId="69995E18" w14:textId="76CBC366" w:rsidR="00563E76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eastAsia="SchoolBookSanPin" w:hAnsi="Times New Roman" w:cs="Times New Roman"/>
                <w:sz w:val="24"/>
                <w:szCs w:val="24"/>
              </w:rPr>
              <w:t>Разговоры о правильном питании</w:t>
            </w:r>
          </w:p>
        </w:tc>
        <w:tc>
          <w:tcPr>
            <w:tcW w:w="2359" w:type="dxa"/>
          </w:tcPr>
          <w:p w14:paraId="3BBBAB4A" w14:textId="31155279" w:rsidR="00563E76" w:rsidRPr="00106BEB" w:rsidRDefault="00106BEB" w:rsidP="00895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  <w:r w:rsidR="00895130"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1673" w:type="dxa"/>
          </w:tcPr>
          <w:p w14:paraId="29A7174B" w14:textId="78F26D9C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A3550D2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A6A4116" w14:textId="076402B8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94FB6B2" w14:textId="22C908DD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63E76" w:rsidRPr="00895130" w14:paraId="208E89AA" w14:textId="77777777" w:rsidTr="00563E76">
        <w:trPr>
          <w:cantSplit/>
          <w:trHeight w:val="374"/>
          <w:tblHeader/>
        </w:trPr>
        <w:tc>
          <w:tcPr>
            <w:tcW w:w="4399" w:type="dxa"/>
            <w:vMerge/>
          </w:tcPr>
          <w:p w14:paraId="55A7C4D3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14:paraId="2036B0EA" w14:textId="2B3CBBDC" w:rsidR="00563E76" w:rsidRPr="00106BEB" w:rsidRDefault="00106BEB" w:rsidP="00563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Кубановедение</w:t>
            </w:r>
          </w:p>
        </w:tc>
        <w:tc>
          <w:tcPr>
            <w:tcW w:w="2359" w:type="dxa"/>
          </w:tcPr>
          <w:p w14:paraId="6D2DC7D0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1057695B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5" w:type="dxa"/>
          </w:tcPr>
          <w:p w14:paraId="04718607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122F7657" w14:textId="14F4B1A1" w:rsidR="00563E76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14:paraId="41DB9922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06BEB" w:rsidRPr="00895130" w14:paraId="2B082B76" w14:textId="77777777" w:rsidTr="00563E76">
        <w:trPr>
          <w:cantSplit/>
          <w:trHeight w:val="376"/>
          <w:tblHeader/>
        </w:trPr>
        <w:tc>
          <w:tcPr>
            <w:tcW w:w="4399" w:type="dxa"/>
            <w:vMerge w:val="restart"/>
          </w:tcPr>
          <w:p w14:paraId="17441035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14:paraId="292E85BD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06B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106B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14:paraId="78CD7E3F" w14:textId="6F54D23D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7E7127E0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5613B948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B7D134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1FE18DC3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06BEB" w:rsidRPr="00895130" w14:paraId="7C10A855" w14:textId="77777777" w:rsidTr="00563E76">
        <w:trPr>
          <w:cantSplit/>
          <w:trHeight w:val="376"/>
          <w:tblHeader/>
        </w:trPr>
        <w:tc>
          <w:tcPr>
            <w:tcW w:w="4399" w:type="dxa"/>
            <w:vMerge/>
          </w:tcPr>
          <w:p w14:paraId="155C1519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14:paraId="08A21AC1" w14:textId="31D93CDD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/>
                <w:sz w:val="24"/>
                <w:szCs w:val="24"/>
                <w:lang w:eastAsia="en-US"/>
              </w:rPr>
              <w:t>«Мир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>звуков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>и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>букв»</w:t>
            </w:r>
          </w:p>
        </w:tc>
        <w:tc>
          <w:tcPr>
            <w:tcW w:w="2359" w:type="dxa"/>
          </w:tcPr>
          <w:p w14:paraId="4DE91A35" w14:textId="24126752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029F30A9" w14:textId="6E52DB0A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301A68DC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3592E0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250426A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6BEB" w:rsidRPr="00895130" w14:paraId="73C874D5" w14:textId="77777777" w:rsidTr="00563E76">
        <w:trPr>
          <w:cantSplit/>
          <w:trHeight w:val="376"/>
          <w:tblHeader/>
        </w:trPr>
        <w:tc>
          <w:tcPr>
            <w:tcW w:w="4399" w:type="dxa"/>
            <w:vMerge/>
          </w:tcPr>
          <w:p w14:paraId="38C697F7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14:paraId="35C0BBA4" w14:textId="7600A5C6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/>
                <w:sz w:val="24"/>
                <w:szCs w:val="24"/>
                <w:lang w:eastAsia="en-US"/>
              </w:rPr>
              <w:t>«Учение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>без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  <w:r w:rsidRPr="00106BEB">
              <w:rPr>
                <w:rFonts w:ascii="Times New Roman"/>
                <w:sz w:val="24"/>
                <w:szCs w:val="24"/>
                <w:lang w:eastAsia="en-US"/>
              </w:rPr>
              <w:t>мучения»</w:t>
            </w:r>
          </w:p>
        </w:tc>
        <w:tc>
          <w:tcPr>
            <w:tcW w:w="2359" w:type="dxa"/>
          </w:tcPr>
          <w:p w14:paraId="3DEB6569" w14:textId="711283B0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0A9E3707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2B1BEC3" w14:textId="7BAA023E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F03A06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5EEC355" w14:textId="77777777" w:rsidR="00106BEB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6BEB" w:rsidRPr="00895130" w14:paraId="51134972" w14:textId="77777777" w:rsidTr="00563E76">
        <w:trPr>
          <w:cantSplit/>
          <w:trHeight w:val="376"/>
          <w:tblHeader/>
        </w:trPr>
        <w:tc>
          <w:tcPr>
            <w:tcW w:w="4399" w:type="dxa"/>
          </w:tcPr>
          <w:p w14:paraId="1EF7E45E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14:paraId="2700AB7D" w14:textId="217030F5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«Петрушка»</w:t>
            </w:r>
          </w:p>
        </w:tc>
        <w:tc>
          <w:tcPr>
            <w:tcW w:w="2359" w:type="dxa"/>
          </w:tcPr>
          <w:p w14:paraId="5FBF9CDF" w14:textId="3811FE50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Театральная студия</w:t>
            </w:r>
          </w:p>
        </w:tc>
        <w:tc>
          <w:tcPr>
            <w:tcW w:w="1673" w:type="dxa"/>
          </w:tcPr>
          <w:p w14:paraId="54F1F545" w14:textId="25560381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15B453C" w14:textId="6FD1276E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7C0197" w14:textId="45E2904F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155BBD3" w14:textId="32A5A633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06BEB" w:rsidRPr="00895130" w14:paraId="4EC789E3" w14:textId="77777777" w:rsidTr="00563E76">
        <w:trPr>
          <w:cantSplit/>
          <w:trHeight w:val="376"/>
          <w:tblHeader/>
        </w:trPr>
        <w:tc>
          <w:tcPr>
            <w:tcW w:w="4399" w:type="dxa"/>
          </w:tcPr>
          <w:p w14:paraId="16D5B81A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14:paraId="20046E4D" w14:textId="182490B5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359" w:type="dxa"/>
          </w:tcPr>
          <w:p w14:paraId="650843EE" w14:textId="77777777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73" w:type="dxa"/>
          </w:tcPr>
          <w:p w14:paraId="0922F800" w14:textId="48A474E9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14:paraId="1D90D91D" w14:textId="0D146F04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8E60174" w14:textId="1484BC8D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14:paraId="0AD2A9C4" w14:textId="5A018F4D" w:rsidR="00106BEB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563E76" w:rsidRPr="00895130" w14:paraId="1423F9BB" w14:textId="77777777" w:rsidTr="00563E76">
        <w:trPr>
          <w:cantSplit/>
          <w:trHeight w:val="376"/>
          <w:tblHeader/>
        </w:trPr>
        <w:tc>
          <w:tcPr>
            <w:tcW w:w="4399" w:type="dxa"/>
          </w:tcPr>
          <w:p w14:paraId="5801A075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3871" w:type="dxa"/>
          </w:tcPr>
          <w:p w14:paraId="51757DEC" w14:textId="4B8D8D80" w:rsidR="00563E76" w:rsidRPr="00106BEB" w:rsidRDefault="00106BEB" w:rsidP="0010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</w:t>
            </w:r>
            <w:r w:rsidR="00895130" w:rsidRPr="00106B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ункциональная грамотность</w:t>
            </w:r>
          </w:p>
        </w:tc>
        <w:tc>
          <w:tcPr>
            <w:tcW w:w="2359" w:type="dxa"/>
          </w:tcPr>
          <w:p w14:paraId="236CA346" w14:textId="77777777" w:rsidR="00563E76" w:rsidRPr="00106BEB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73" w:type="dxa"/>
          </w:tcPr>
          <w:p w14:paraId="19C0746C" w14:textId="77777777" w:rsidR="00563E76" w:rsidRPr="00106BEB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073F0B5C" w14:textId="77777777" w:rsidR="00563E76" w:rsidRPr="00106BEB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8A37DC6" w14:textId="77777777" w:rsidR="00563E76" w:rsidRPr="00106BEB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31CD4FE" w14:textId="77777777" w:rsidR="00563E76" w:rsidRPr="00106BEB" w:rsidRDefault="00895130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563E76" w:rsidRPr="00895130" w14:paraId="20ED03C8" w14:textId="77777777" w:rsidTr="00563E76">
        <w:trPr>
          <w:cantSplit/>
          <w:trHeight w:val="376"/>
          <w:tblHeader/>
        </w:trPr>
        <w:tc>
          <w:tcPr>
            <w:tcW w:w="10629" w:type="dxa"/>
            <w:gridSpan w:val="3"/>
          </w:tcPr>
          <w:p w14:paraId="551E9E86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 за неделю</w:t>
            </w:r>
          </w:p>
        </w:tc>
        <w:tc>
          <w:tcPr>
            <w:tcW w:w="1673" w:type="dxa"/>
          </w:tcPr>
          <w:p w14:paraId="12B45FC3" w14:textId="7D6B7ECA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14:paraId="2CCA7097" w14:textId="283CDD87" w:rsidR="00563E76" w:rsidRPr="00106BEB" w:rsidRDefault="00106BE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D4E25E6" w14:textId="052D3F43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1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6A10C89C" w14:textId="31809971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</w:tr>
      <w:tr w:rsidR="00563E76" w:rsidRPr="00895130" w14:paraId="650BDB9E" w14:textId="77777777" w:rsidTr="00563E76">
        <w:trPr>
          <w:cantSplit/>
          <w:trHeight w:val="376"/>
          <w:tblHeader/>
        </w:trPr>
        <w:tc>
          <w:tcPr>
            <w:tcW w:w="10629" w:type="dxa"/>
            <w:gridSpan w:val="3"/>
          </w:tcPr>
          <w:p w14:paraId="3FB6D3D7" w14:textId="77777777" w:rsidR="00563E76" w:rsidRPr="00106BEB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673" w:type="dxa"/>
          </w:tcPr>
          <w:p w14:paraId="63E9C42F" w14:textId="4A9C5CD1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15" w:type="dxa"/>
          </w:tcPr>
          <w:p w14:paraId="1A181A31" w14:textId="4240154C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14:paraId="29B1787C" w14:textId="5ACC7BAA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5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8" w:type="dxa"/>
          </w:tcPr>
          <w:p w14:paraId="1867E6BF" w14:textId="3BD2D3AD" w:rsidR="00563E76" w:rsidRPr="00106BEB" w:rsidRDefault="00A84E7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238</w:t>
            </w:r>
          </w:p>
        </w:tc>
      </w:tr>
    </w:tbl>
    <w:p w14:paraId="58A4EA4B" w14:textId="77777777" w:rsidR="00E47AAB" w:rsidRPr="00895130" w:rsidRDefault="00563E7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sectPr w:rsidR="00E47AAB" w:rsidRPr="00895130" w:rsidSect="00563E7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B"/>
    <w:rsid w:val="00106BEB"/>
    <w:rsid w:val="004E504E"/>
    <w:rsid w:val="00563E76"/>
    <w:rsid w:val="006825EE"/>
    <w:rsid w:val="00895130"/>
    <w:rsid w:val="00A84E7E"/>
    <w:rsid w:val="00AB7008"/>
    <w:rsid w:val="00C8131C"/>
    <w:rsid w:val="00E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0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Социальный педагог</cp:lastModifiedBy>
  <cp:revision>4</cp:revision>
  <dcterms:created xsi:type="dcterms:W3CDTF">2024-10-12T09:40:00Z</dcterms:created>
  <dcterms:modified xsi:type="dcterms:W3CDTF">2024-11-06T12:53:00Z</dcterms:modified>
</cp:coreProperties>
</file>